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A336B" w14:textId="74D35C38" w:rsidR="00486ECE" w:rsidRPr="0077278C" w:rsidRDefault="0077278C" w:rsidP="0077278C">
      <w:pPr>
        <w:spacing w:after="0" w:line="276" w:lineRule="auto"/>
        <w:jc w:val="both"/>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H. CONGRESO DEL ESTADO DE YUCATÁN</w:t>
      </w:r>
    </w:p>
    <w:p w14:paraId="35363810" w14:textId="77777777" w:rsidR="005C3D17" w:rsidRDefault="005C3D17" w:rsidP="005C3D17">
      <w:pPr>
        <w:spacing w:after="0" w:line="240" w:lineRule="auto"/>
        <w:jc w:val="both"/>
        <w:rPr>
          <w:rFonts w:ascii="Arial" w:eastAsia="Arial" w:hAnsi="Arial" w:cs="Arial"/>
          <w:b/>
        </w:rPr>
      </w:pPr>
    </w:p>
    <w:p w14:paraId="31629442" w14:textId="59ABF72C" w:rsidR="005C3D17" w:rsidRPr="005147BE" w:rsidRDefault="005C3D17" w:rsidP="005C3D17">
      <w:pPr>
        <w:spacing w:after="0" w:line="240" w:lineRule="auto"/>
        <w:jc w:val="both"/>
        <w:rPr>
          <w:rFonts w:ascii="Arial" w:eastAsia="Arial" w:hAnsi="Arial" w:cs="Arial"/>
          <w:b/>
        </w:rPr>
      </w:pPr>
      <w:r w:rsidRPr="005147BE">
        <w:rPr>
          <w:rFonts w:ascii="Arial" w:eastAsia="Arial" w:hAnsi="Arial" w:cs="Arial"/>
          <w:b/>
        </w:rPr>
        <w:t>DIP. NOEMÍ RAQUEL PENICHE LÓPEZ</w:t>
      </w:r>
    </w:p>
    <w:p w14:paraId="2DDE81AB" w14:textId="77777777" w:rsidR="005C3D17" w:rsidRPr="005147BE" w:rsidRDefault="005C3D17" w:rsidP="005C3D17">
      <w:pPr>
        <w:spacing w:after="0" w:line="240" w:lineRule="auto"/>
        <w:jc w:val="both"/>
        <w:rPr>
          <w:rFonts w:ascii="Arial" w:eastAsia="Arial" w:hAnsi="Arial" w:cs="Arial"/>
          <w:b/>
        </w:rPr>
      </w:pPr>
      <w:r w:rsidRPr="005147BE">
        <w:rPr>
          <w:rFonts w:ascii="Arial" w:eastAsia="Arial" w:hAnsi="Arial" w:cs="Arial"/>
          <w:b/>
        </w:rPr>
        <w:t>PRESIDENTA DE LA MESA DIRECTIVA</w:t>
      </w:r>
    </w:p>
    <w:p w14:paraId="6E0E2DB6" w14:textId="77777777" w:rsidR="0077278C" w:rsidRDefault="0077278C" w:rsidP="0077278C">
      <w:pPr>
        <w:spacing w:after="0" w:line="276" w:lineRule="auto"/>
        <w:jc w:val="both"/>
        <w:rPr>
          <w:rFonts w:ascii="Arial" w:hAnsi="Arial" w:cs="Times New Roman"/>
          <w:kern w:val="2"/>
          <w:lang w:eastAsia="en-US"/>
          <w14:ligatures w14:val="standardContextual"/>
        </w:rPr>
      </w:pPr>
    </w:p>
    <w:p w14:paraId="4A249124" w14:textId="281CE553" w:rsidR="005C3D17" w:rsidRPr="005C3D17" w:rsidRDefault="005C3D17" w:rsidP="0077278C">
      <w:pPr>
        <w:spacing w:after="0" w:line="276" w:lineRule="auto"/>
        <w:jc w:val="both"/>
        <w:rPr>
          <w:rFonts w:ascii="Arial" w:hAnsi="Arial" w:cs="Times New Roman"/>
          <w:b/>
          <w:bCs/>
          <w:kern w:val="2"/>
          <w:lang w:eastAsia="en-US"/>
          <w14:ligatures w14:val="standardContextual"/>
        </w:rPr>
      </w:pPr>
      <w:r>
        <w:rPr>
          <w:rFonts w:ascii="Arial" w:hAnsi="Arial" w:cs="Times New Roman"/>
          <w:b/>
          <w:bCs/>
          <w:kern w:val="2"/>
          <w:lang w:eastAsia="en-US"/>
          <w14:ligatures w14:val="standardContextual"/>
        </w:rPr>
        <w:t>P R E S E N T E</w:t>
      </w:r>
    </w:p>
    <w:p w14:paraId="1D8C7B4A" w14:textId="77777777" w:rsidR="005C3D17" w:rsidRPr="0077278C" w:rsidRDefault="005C3D17" w:rsidP="0077278C">
      <w:pPr>
        <w:spacing w:after="0" w:line="276" w:lineRule="auto"/>
        <w:jc w:val="both"/>
        <w:rPr>
          <w:rFonts w:ascii="Arial" w:hAnsi="Arial" w:cs="Times New Roman"/>
          <w:kern w:val="2"/>
          <w:lang w:eastAsia="en-US"/>
          <w14:ligatures w14:val="standardContextual"/>
        </w:rPr>
      </w:pPr>
    </w:p>
    <w:p w14:paraId="30FC8FE3" w14:textId="67622C9C"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El que suscribe, Diputado </w:t>
      </w:r>
      <w:r w:rsidRPr="0077278C">
        <w:rPr>
          <w:rFonts w:ascii="Arial" w:hAnsi="Arial" w:cs="Times New Roman"/>
          <w:b/>
          <w:bCs/>
          <w:kern w:val="2"/>
          <w:lang w:eastAsia="en-US"/>
          <w14:ligatures w14:val="standardContextual"/>
        </w:rPr>
        <w:t>Wilmer Manuel Monforte Marfil</w:t>
      </w:r>
      <w:r w:rsidRPr="0077278C">
        <w:rPr>
          <w:rFonts w:ascii="Arial" w:hAnsi="Arial" w:cs="Times New Roman"/>
          <w:kern w:val="2"/>
          <w:lang w:eastAsia="en-US"/>
          <w14:ligatures w14:val="standardContextual"/>
        </w:rPr>
        <w:t xml:space="preserve">, coordinador de la Fracción Parlamentaria de </w:t>
      </w:r>
      <w:r w:rsidR="00401D53" w:rsidRPr="00401D53">
        <w:rPr>
          <w:rFonts w:ascii="Surface" w:hAnsi="Surface" w:cs="Times New Roman"/>
          <w:color w:val="C00000"/>
          <w:kern w:val="2"/>
          <w:sz w:val="32"/>
          <w:szCs w:val="32"/>
          <w:lang w:eastAsia="en-US"/>
          <w14:ligatures w14:val="standardContextual"/>
        </w:rPr>
        <w:t>m</w:t>
      </w:r>
      <w:r w:rsidRPr="00401D53">
        <w:rPr>
          <w:rFonts w:ascii="Surface" w:hAnsi="Surface" w:cs="Times New Roman"/>
          <w:color w:val="C00000"/>
          <w:kern w:val="2"/>
          <w:sz w:val="32"/>
          <w:szCs w:val="32"/>
          <w:lang w:eastAsia="en-US"/>
          <w14:ligatures w14:val="standardContextual"/>
        </w:rPr>
        <w:t>orena</w:t>
      </w:r>
      <w:r w:rsidRPr="0077278C">
        <w:rPr>
          <w:rFonts w:ascii="Arial" w:hAnsi="Arial" w:cs="Times New Roman"/>
          <w:kern w:val="2"/>
          <w:lang w:eastAsia="en-US"/>
          <w14:ligatures w14:val="standardContextual"/>
        </w:rPr>
        <w:t xml:space="preserve"> a nombre de dicha fracción, así como de las representaciones legislativas del Partido Verde Ecologista de México y Partido del Trabajo, en ejercicio de la facultad conferida en el artículo 35, fracción I de la Constitución Política; 16 y 22, fracción VI de la Ley de Gobierno del Poder Legislativo; y en los artículos 68 y 69 del Reglamento de la Ley de Gobierno del Poder Legislativo, todas del Estado de Yucatán, sometemos a consideración de esta Honorable Soberanía, la </w:t>
      </w:r>
      <w:r w:rsidRPr="0077278C">
        <w:rPr>
          <w:rFonts w:ascii="Arial" w:hAnsi="Arial" w:cs="Times New Roman"/>
          <w:b/>
          <w:bCs/>
          <w:kern w:val="2"/>
          <w:lang w:eastAsia="en-US"/>
          <w14:ligatures w14:val="standardContextual"/>
        </w:rPr>
        <w:t>INICIATIVA CON PROYECTO DE DECRETO POR EL QUE SE DECLARA AL INSTITUTO TECNOLÓGICO DE TIZIMÍN, COMO “</w:t>
      </w:r>
      <w:r w:rsidR="00933D41">
        <w:rPr>
          <w:rFonts w:ascii="Arial" w:hAnsi="Arial" w:cs="Times New Roman"/>
          <w:b/>
          <w:bCs/>
          <w:kern w:val="2"/>
          <w:lang w:eastAsia="en-US"/>
          <w14:ligatures w14:val="standardContextual"/>
        </w:rPr>
        <w:t>BENEMÉRITA E ILUSTRE INSTITUCIÓN FORMADORA DE PROFESIONALES AGROPECUARIOS EN EL ORIENTE DEL ESTADO DE YUCATÁN</w:t>
      </w:r>
      <w:r w:rsidRPr="0077278C">
        <w:rPr>
          <w:rFonts w:ascii="Arial" w:hAnsi="Arial" w:cs="Times New Roman"/>
          <w:b/>
          <w:bCs/>
          <w:kern w:val="2"/>
          <w:lang w:eastAsia="en-US"/>
          <w14:ligatures w14:val="standardContextual"/>
        </w:rPr>
        <w:t>”</w:t>
      </w:r>
      <w:r w:rsidRPr="0077278C">
        <w:rPr>
          <w:rFonts w:ascii="Arial" w:hAnsi="Arial" w:cs="Times New Roman"/>
          <w:kern w:val="2"/>
          <w:lang w:eastAsia="en-US"/>
          <w14:ligatures w14:val="standardContextual"/>
        </w:rPr>
        <w:t xml:space="preserve">, al tenor de la siguiente: </w:t>
      </w:r>
    </w:p>
    <w:p w14:paraId="6428B92D"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0954D8A8" w14:textId="77777777" w:rsidR="0077278C" w:rsidRPr="0077278C" w:rsidRDefault="0077278C" w:rsidP="0077278C">
      <w:pPr>
        <w:spacing w:after="0" w:line="276" w:lineRule="auto"/>
        <w:jc w:val="center"/>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EXPOSICIÓN DE MOTIVOS</w:t>
      </w:r>
    </w:p>
    <w:p w14:paraId="17084853"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33CB60D5"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Para dimensionar la importancia económica y social del sector agropecuario del Oriente de Yucatán, resulta pertinente destacar que la actividad ganadera bovina y la apicultura representan la base económica de la mayoría de los municipios que conforman la entidad, entre los que sobresalen Tizimín, </w:t>
      </w:r>
      <w:proofErr w:type="spellStart"/>
      <w:r w:rsidRPr="0077278C">
        <w:rPr>
          <w:rFonts w:ascii="Arial" w:hAnsi="Arial" w:cs="Times New Roman"/>
          <w:kern w:val="2"/>
          <w:lang w:eastAsia="en-US"/>
          <w14:ligatures w14:val="standardContextual"/>
        </w:rPr>
        <w:t>Panabá</w:t>
      </w:r>
      <w:proofErr w:type="spellEnd"/>
      <w:r w:rsidRPr="0077278C">
        <w:rPr>
          <w:rFonts w:ascii="Arial" w:hAnsi="Arial" w:cs="Times New Roman"/>
          <w:kern w:val="2"/>
          <w:lang w:eastAsia="en-US"/>
          <w14:ligatures w14:val="standardContextual"/>
        </w:rPr>
        <w:t xml:space="preserve">, </w:t>
      </w:r>
      <w:proofErr w:type="spellStart"/>
      <w:r w:rsidRPr="0077278C">
        <w:rPr>
          <w:rFonts w:ascii="Arial" w:hAnsi="Arial" w:cs="Times New Roman"/>
          <w:kern w:val="2"/>
          <w:lang w:eastAsia="en-US"/>
          <w14:ligatures w14:val="standardContextual"/>
        </w:rPr>
        <w:t>Sucilá</w:t>
      </w:r>
      <w:proofErr w:type="spellEnd"/>
      <w:r w:rsidRPr="0077278C">
        <w:rPr>
          <w:rFonts w:ascii="Arial" w:hAnsi="Arial" w:cs="Times New Roman"/>
          <w:kern w:val="2"/>
          <w:lang w:eastAsia="en-US"/>
          <w14:ligatures w14:val="standardContextual"/>
        </w:rPr>
        <w:t xml:space="preserve"> y </w:t>
      </w:r>
      <w:proofErr w:type="spellStart"/>
      <w:r w:rsidRPr="0077278C">
        <w:rPr>
          <w:rFonts w:ascii="Arial" w:hAnsi="Arial" w:cs="Times New Roman"/>
          <w:kern w:val="2"/>
          <w:lang w:eastAsia="en-US"/>
          <w14:ligatures w14:val="standardContextual"/>
        </w:rPr>
        <w:t>Buctzotz</w:t>
      </w:r>
      <w:proofErr w:type="spellEnd"/>
      <w:r w:rsidRPr="0077278C">
        <w:rPr>
          <w:rFonts w:ascii="Arial" w:hAnsi="Arial" w:cs="Times New Roman"/>
          <w:kern w:val="2"/>
          <w:lang w:eastAsia="en-US"/>
          <w14:ligatures w14:val="standardContextual"/>
        </w:rPr>
        <w:t xml:space="preserve">. </w:t>
      </w:r>
    </w:p>
    <w:p w14:paraId="1C4EAC90"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113EDA58"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Este dinamismo pecuario genera miles de empleos directos e indirectos, y posiciona al Estado como un importante productor económico de actividades primarias, impulsando la innovación, optimizando los procesos en la producción pecuaria y fomentando prácticas sustentables que garanticen la preservación ambiental frente a retos críticos de la actualidad, lo que demuestra que el fomento de la educación superior tecnológica en el Oriente del estado ha dejado de ser una simple opción pedagógica para convertirse en un imperativo de soberanía económica, alimentaria y social.</w:t>
      </w:r>
    </w:p>
    <w:p w14:paraId="334B2721"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6528E990"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Es precisamente bajo esta premisa donde la presencia del Instituto Tecnológico de Tizimín adquiere una dimensión de trascendencia histórica, pues durante cinco décadas, esta institución ha asumido la responsabilidad de formar a los </w:t>
      </w:r>
      <w:r w:rsidRPr="0077278C">
        <w:rPr>
          <w:rFonts w:ascii="Arial" w:hAnsi="Arial" w:cs="Times New Roman"/>
          <w:kern w:val="2"/>
          <w:lang w:eastAsia="en-US"/>
          <w14:ligatures w14:val="standardContextual"/>
        </w:rPr>
        <w:lastRenderedPageBreak/>
        <w:t>profesionales de la ingeniería y la licenciatura que hoy lideran la administración de empresas, la gestión de proyectos, el cuidado ambiental y el desarrollo sostenible de la agroindustria en el Oriente yucateco, vinculando el rigor de la ciencia y la tecnología con la profunda sensibilidad social y el humanismo que demanda nuestra sociedad.</w:t>
      </w:r>
      <w:r w:rsidRPr="0077278C">
        <w:rPr>
          <w:rFonts w:ascii="Arial" w:hAnsi="Arial" w:cs="Times New Roman"/>
          <w:kern w:val="2"/>
          <w:lang w:eastAsia="en-US"/>
          <w14:ligatures w14:val="standardContextual"/>
        </w:rPr>
        <w:br/>
      </w:r>
    </w:p>
    <w:p w14:paraId="6D952B93"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La historia del Instituto Tecnológico de Tizimín es el reflejo del esfuerzo conjunto de la sociedad del Oriente de Yucatán y de las instituciones educativas que, con una visión transformadora y descentralizadora, comprendieron la necesidad de dotar a esta región de un centro de estudios de nivel profesional; propiamente, la institución fue formalmente fundada el 10 de julio de 1976, respondiendo directamente a la estratégica ubicación geográfica del municipio de Tizimín, el cual se encuentra situado a 160 kilómetros de la ciudad de Mérida como capital del Estado y a 190 kilómetros de la ciudad de Cancún, Quintana Roo, en ese entonces como uno de los principales polos de desarrollo turístico del país y fuente vital de empleos y divisas, siendo que el establecimiento de este plantel representó la oportunidad de crear un puente de conocimientos entre estas dos regiones productivas y dinámicas, potenciando las vocaciones del campo </w:t>
      </w:r>
      <w:proofErr w:type="spellStart"/>
      <w:r w:rsidRPr="0077278C">
        <w:rPr>
          <w:rFonts w:ascii="Arial" w:hAnsi="Arial" w:cs="Times New Roman"/>
          <w:kern w:val="2"/>
          <w:lang w:eastAsia="en-US"/>
          <w14:ligatures w14:val="standardContextual"/>
        </w:rPr>
        <w:t>tizimileño</w:t>
      </w:r>
      <w:proofErr w:type="spellEnd"/>
      <w:r w:rsidRPr="0077278C">
        <w:rPr>
          <w:rFonts w:ascii="Arial" w:hAnsi="Arial" w:cs="Times New Roman"/>
          <w:kern w:val="2"/>
          <w:lang w:eastAsia="en-US"/>
          <w14:ligatures w14:val="standardContextual"/>
        </w:rPr>
        <w:t xml:space="preserve">. </w:t>
      </w:r>
    </w:p>
    <w:p w14:paraId="0EB5A6AF"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69C839D9"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Ahora bien, el nacimiento de la vida académica del Instituto se materializó pocos meses después de su creación formal, registrándose el inicio de sus actividades docentes el 16 de octubre de 1976, siendo que esta memorable fecha inicial se mantiene profundamente arraigada en la memoria colectiva de su comunidad y de las generaciones de egresados, marcando el inicio formal de un proceso de transformación educativa que ha perdurado a lo largo de cincuenta años. </w:t>
      </w:r>
      <w:r w:rsidRPr="0077278C">
        <w:rPr>
          <w:rFonts w:ascii="Arial" w:hAnsi="Arial" w:cs="Times New Roman"/>
          <w:kern w:val="2"/>
          <w:lang w:eastAsia="en-US"/>
          <w14:ligatures w14:val="standardContextual"/>
        </w:rPr>
        <w:br/>
      </w:r>
    </w:p>
    <w:p w14:paraId="41603577"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Los primeros alumnos que conformaron la generación fundadora fueron egresados técnicos del Centro de Estudios Tecnológicos Agropecuarios (CETA), quienes comenzaron la carrera de Zootecnista con una duración de dos años, teniendo claro desde sus inicios el compromiso constante con la superación académica, pues al concluir esta primera etapa se implementaron dos años adicionales de formación, permitiendo que los estudiantes egresaran formalmente con el título de Ingenieros Agrónomos Zootecnistas, marcando el inicio de la formación profesional tecnológica en la región.</w:t>
      </w:r>
    </w:p>
    <w:p w14:paraId="22EFE4D5"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682A879C"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En la actualidad, consolidado como una institución de educación superior de vanguardia, el Instituto Tecnológico de Tizimín imparte con orgullo y excelencia las carreras de Ingeniería en Agronomía, Ingeniería en Gestión Empresarial, Ingeniería Informática, Licenciatura en Administración, Licenciatura en Biología, así como el </w:t>
      </w:r>
      <w:r w:rsidRPr="0077278C">
        <w:rPr>
          <w:rFonts w:ascii="Arial" w:hAnsi="Arial" w:cs="Times New Roman"/>
          <w:kern w:val="2"/>
          <w:lang w:eastAsia="en-US"/>
          <w14:ligatures w14:val="standardContextual"/>
        </w:rPr>
        <w:lastRenderedPageBreak/>
        <w:t>posgrado de Maestría en Ciencias en Agroecosistemas Sostenibles; este posgrado representa un pilar científico que genera investigación aplicada de alta pertinencia para el manejo responsable de los recursos de la selva, la conservación del suelo calcáreo y las corrientes subterráneas que caracterizan al territorio yucateco, contribuyendo directamente a la sustentabilidad del Oriente del estado.</w:t>
      </w:r>
    </w:p>
    <w:p w14:paraId="42A14968"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4089FD89" w14:textId="1541D8BA"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En tal contexto, el otorgamiento de este reconocimiento solemne e institucional de parte del H. Congreso del Estado de Yucatán representa un acto de justicia y de profundo agradecimiento del pueblo yucateco y quienes suscribimos la presente iniciativa, consideramos pertinente proponer a esta honorable Soberanía que se declare al </w:t>
      </w:r>
      <w:r w:rsidR="00BA2EFC" w:rsidRPr="0077278C">
        <w:rPr>
          <w:rFonts w:ascii="Arial" w:hAnsi="Arial" w:cs="Times New Roman"/>
          <w:b/>
          <w:bCs/>
          <w:kern w:val="2"/>
          <w:lang w:eastAsia="en-US"/>
          <w14:ligatures w14:val="standardContextual"/>
        </w:rPr>
        <w:t>INSTITUTO TECNOLÓGICO DE TIZIMÍN, COMO “</w:t>
      </w:r>
      <w:r w:rsidR="00933D41">
        <w:rPr>
          <w:rFonts w:ascii="Arial" w:hAnsi="Arial" w:cs="Times New Roman"/>
          <w:b/>
          <w:bCs/>
          <w:kern w:val="2"/>
          <w:lang w:eastAsia="en-US"/>
          <w14:ligatures w14:val="standardContextual"/>
        </w:rPr>
        <w:t>BENEMÉRITA E ILUSTRE INSTITUCIÓN FORMADORA DE PROFESIONALES AGROPECUARIOS EN EL ORIENTE DEL ESTADO DE YUCATÁN</w:t>
      </w:r>
      <w:r w:rsidR="00BA2EFC" w:rsidRPr="0077278C">
        <w:rPr>
          <w:rFonts w:ascii="Arial" w:hAnsi="Arial" w:cs="Times New Roman"/>
          <w:b/>
          <w:bCs/>
          <w:kern w:val="2"/>
          <w:lang w:eastAsia="en-US"/>
          <w14:ligatures w14:val="standardContextual"/>
        </w:rPr>
        <w:t>”</w:t>
      </w:r>
      <w:r w:rsidRPr="0077278C">
        <w:rPr>
          <w:rFonts w:ascii="Arial" w:hAnsi="Arial" w:cs="Times New Roman"/>
          <w:kern w:val="2"/>
          <w:lang w:eastAsia="en-US"/>
          <w14:ligatures w14:val="standardContextual"/>
        </w:rPr>
        <w:t>, a fin de reconocer el papel incuestionable que tuvo en el desarrollo, crecimiento y mejora en la región oriente del Estado.</w:t>
      </w:r>
    </w:p>
    <w:p w14:paraId="08D05A0C"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3C1B39B4"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Por las razones expuestas, en ejercicio de la facultad conferida en el artículo 35, fracción I, de la Constitución Política del Estado de Yucatán, y atendiendo la responsabilidad política, social y cultura que tenemos con la población, sometemos a su consideración, la siguiente Iniciativa con Proyecto de: </w:t>
      </w:r>
    </w:p>
    <w:p w14:paraId="7B8182D5"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 </w:t>
      </w:r>
    </w:p>
    <w:p w14:paraId="32851A6B" w14:textId="77777777" w:rsidR="0077278C" w:rsidRPr="0077278C" w:rsidRDefault="0077278C" w:rsidP="0077278C">
      <w:pPr>
        <w:spacing w:after="0" w:line="276" w:lineRule="auto"/>
        <w:jc w:val="center"/>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D E C R E T O</w:t>
      </w:r>
    </w:p>
    <w:p w14:paraId="37534A39" w14:textId="77777777" w:rsidR="0077278C" w:rsidRPr="0077278C" w:rsidRDefault="0077278C" w:rsidP="0077278C">
      <w:pPr>
        <w:spacing w:after="0" w:line="276" w:lineRule="auto"/>
        <w:jc w:val="both"/>
        <w:rPr>
          <w:rFonts w:ascii="Arial" w:hAnsi="Arial" w:cs="Times New Roman"/>
          <w:b/>
          <w:bCs/>
          <w:kern w:val="2"/>
          <w:lang w:eastAsia="en-US"/>
          <w14:ligatures w14:val="standardContextual"/>
        </w:rPr>
      </w:pPr>
    </w:p>
    <w:p w14:paraId="3F148514" w14:textId="745E164E" w:rsidR="0077278C" w:rsidRDefault="0077278C" w:rsidP="0077278C">
      <w:pPr>
        <w:spacing w:after="0" w:line="276" w:lineRule="auto"/>
        <w:jc w:val="both"/>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 xml:space="preserve">POR EL QUE SE DECLARA AL </w:t>
      </w:r>
      <w:r w:rsidR="00D73F0A" w:rsidRPr="0077278C">
        <w:rPr>
          <w:rFonts w:ascii="Arial" w:hAnsi="Arial" w:cs="Times New Roman"/>
          <w:b/>
          <w:bCs/>
          <w:kern w:val="2"/>
          <w:lang w:eastAsia="en-US"/>
          <w14:ligatures w14:val="standardContextual"/>
        </w:rPr>
        <w:t>INSTITUTO TECNOLÓGICO DE TIZIMÍN, COMO “</w:t>
      </w:r>
      <w:r w:rsidR="00933D41">
        <w:rPr>
          <w:rFonts w:ascii="Arial" w:hAnsi="Arial" w:cs="Times New Roman"/>
          <w:b/>
          <w:bCs/>
          <w:kern w:val="2"/>
          <w:lang w:eastAsia="en-US"/>
          <w14:ligatures w14:val="standardContextual"/>
        </w:rPr>
        <w:t>BENEMÉRITA E ILUSTRE INSTITUCIÓN FORMADORA DE PROFESIONALES AGROPECUARIOS EN EL ORIENTE DEL ESTADO DE YUCATÁN</w:t>
      </w:r>
      <w:r w:rsidR="00D73F0A" w:rsidRPr="0077278C">
        <w:rPr>
          <w:rFonts w:ascii="Arial" w:hAnsi="Arial" w:cs="Times New Roman"/>
          <w:b/>
          <w:bCs/>
          <w:kern w:val="2"/>
          <w:lang w:eastAsia="en-US"/>
          <w14:ligatures w14:val="standardContextual"/>
        </w:rPr>
        <w:t>”</w:t>
      </w:r>
      <w:r w:rsidR="00D73F0A">
        <w:rPr>
          <w:rFonts w:ascii="Arial" w:hAnsi="Arial" w:cs="Times New Roman"/>
          <w:b/>
          <w:bCs/>
          <w:kern w:val="2"/>
          <w:lang w:eastAsia="en-US"/>
          <w14:ligatures w14:val="standardContextual"/>
        </w:rPr>
        <w:t>.</w:t>
      </w:r>
    </w:p>
    <w:p w14:paraId="22D23CBC" w14:textId="77777777" w:rsidR="00D73F0A" w:rsidRPr="0077278C" w:rsidRDefault="00D73F0A" w:rsidP="0077278C">
      <w:pPr>
        <w:spacing w:after="0" w:line="276" w:lineRule="auto"/>
        <w:jc w:val="both"/>
        <w:rPr>
          <w:rFonts w:ascii="Arial" w:hAnsi="Arial" w:cs="Times New Roman"/>
          <w:b/>
          <w:bCs/>
          <w:kern w:val="2"/>
          <w:lang w:eastAsia="en-US"/>
          <w14:ligatures w14:val="standardContextual"/>
        </w:rPr>
      </w:pPr>
    </w:p>
    <w:p w14:paraId="114236C5" w14:textId="77777777" w:rsidR="0077278C" w:rsidRPr="0077278C" w:rsidRDefault="0077278C" w:rsidP="0077278C">
      <w:pPr>
        <w:spacing w:after="0" w:line="276" w:lineRule="auto"/>
        <w:jc w:val="both"/>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Declaratoria</w:t>
      </w:r>
    </w:p>
    <w:p w14:paraId="797E7298" w14:textId="1A77AB14" w:rsid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b/>
          <w:bCs/>
          <w:kern w:val="2"/>
          <w:lang w:eastAsia="en-US"/>
          <w14:ligatures w14:val="standardContextual"/>
        </w:rPr>
        <w:t>Artículo primero.</w:t>
      </w:r>
      <w:r w:rsidRPr="0077278C">
        <w:rPr>
          <w:rFonts w:ascii="Arial" w:hAnsi="Arial" w:cs="Times New Roman"/>
          <w:kern w:val="2"/>
          <w:lang w:eastAsia="en-US"/>
          <w14:ligatures w14:val="standardContextual"/>
        </w:rPr>
        <w:t xml:space="preserve"> El Honorable Congreso del Estado de Yucatán declara al </w:t>
      </w:r>
      <w:r w:rsidR="00D73F0A">
        <w:rPr>
          <w:rFonts w:ascii="Arial" w:hAnsi="Arial" w:cs="Times New Roman"/>
          <w:kern w:val="2"/>
          <w:lang w:eastAsia="en-US"/>
          <w14:ligatures w14:val="standardContextual"/>
        </w:rPr>
        <w:t>I</w:t>
      </w:r>
      <w:r w:rsidR="00D73F0A" w:rsidRPr="00D73F0A">
        <w:rPr>
          <w:rFonts w:ascii="Arial" w:hAnsi="Arial" w:cs="Times New Roman"/>
          <w:kern w:val="2"/>
          <w:lang w:eastAsia="en-US"/>
          <w14:ligatures w14:val="standardContextual"/>
        </w:rPr>
        <w:t xml:space="preserve">nstituto </w:t>
      </w:r>
      <w:r w:rsidR="00D73F0A">
        <w:rPr>
          <w:rFonts w:ascii="Arial" w:hAnsi="Arial" w:cs="Times New Roman"/>
          <w:kern w:val="2"/>
          <w:lang w:eastAsia="en-US"/>
          <w14:ligatures w14:val="standardContextual"/>
        </w:rPr>
        <w:t>T</w:t>
      </w:r>
      <w:r w:rsidR="00D73F0A" w:rsidRPr="00D73F0A">
        <w:rPr>
          <w:rFonts w:ascii="Arial" w:hAnsi="Arial" w:cs="Times New Roman"/>
          <w:kern w:val="2"/>
          <w:lang w:eastAsia="en-US"/>
          <w14:ligatures w14:val="standardContextual"/>
        </w:rPr>
        <w:t xml:space="preserve">ecnológico de </w:t>
      </w:r>
      <w:r w:rsidR="00D73F0A">
        <w:rPr>
          <w:rFonts w:ascii="Arial" w:hAnsi="Arial" w:cs="Times New Roman"/>
          <w:kern w:val="2"/>
          <w:lang w:eastAsia="en-US"/>
          <w14:ligatures w14:val="standardContextual"/>
        </w:rPr>
        <w:t>T</w:t>
      </w:r>
      <w:r w:rsidR="00D73F0A" w:rsidRPr="00D73F0A">
        <w:rPr>
          <w:rFonts w:ascii="Arial" w:hAnsi="Arial" w:cs="Times New Roman"/>
          <w:kern w:val="2"/>
          <w:lang w:eastAsia="en-US"/>
          <w14:ligatures w14:val="standardContextual"/>
        </w:rPr>
        <w:t>izimín, como “</w:t>
      </w:r>
      <w:r w:rsidR="00933D41">
        <w:rPr>
          <w:rFonts w:ascii="Arial" w:hAnsi="Arial" w:cs="Times New Roman"/>
          <w:kern w:val="2"/>
          <w:lang w:eastAsia="en-US"/>
          <w14:ligatures w14:val="standardContextual"/>
        </w:rPr>
        <w:t>Benemérita e Ilustre Institución Formadora de Profesionales Agropecuarios en el Oriente del Estado de Yucatán</w:t>
      </w:r>
      <w:r w:rsidR="00D73F0A" w:rsidRPr="00D73F0A">
        <w:rPr>
          <w:rFonts w:ascii="Arial" w:hAnsi="Arial" w:cs="Times New Roman"/>
          <w:kern w:val="2"/>
          <w:lang w:eastAsia="en-US"/>
          <w14:ligatures w14:val="standardContextual"/>
        </w:rPr>
        <w:t>”</w:t>
      </w:r>
      <w:r w:rsidR="00D73F0A">
        <w:rPr>
          <w:rFonts w:ascii="Arial" w:hAnsi="Arial" w:cs="Times New Roman"/>
          <w:kern w:val="2"/>
          <w:lang w:eastAsia="en-US"/>
          <w14:ligatures w14:val="standardContextual"/>
        </w:rPr>
        <w:t>.</w:t>
      </w:r>
    </w:p>
    <w:p w14:paraId="6C0B45DF" w14:textId="77777777" w:rsidR="00D73F0A" w:rsidRPr="0077278C" w:rsidRDefault="00D73F0A" w:rsidP="0077278C">
      <w:pPr>
        <w:spacing w:after="0" w:line="276" w:lineRule="auto"/>
        <w:jc w:val="both"/>
        <w:rPr>
          <w:rFonts w:ascii="Arial" w:hAnsi="Arial" w:cs="Times New Roman"/>
          <w:kern w:val="2"/>
          <w:lang w:eastAsia="en-US"/>
          <w14:ligatures w14:val="standardContextual"/>
        </w:rPr>
      </w:pPr>
    </w:p>
    <w:p w14:paraId="02FF1866" w14:textId="77777777" w:rsidR="0077278C" w:rsidRPr="0077278C" w:rsidRDefault="0077278C" w:rsidP="0077278C">
      <w:pPr>
        <w:spacing w:after="0" w:line="276" w:lineRule="auto"/>
        <w:jc w:val="both"/>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Denominación oficial</w:t>
      </w:r>
    </w:p>
    <w:p w14:paraId="7FE6ED1B" w14:textId="4DAF53CF" w:rsidR="00D73F0A" w:rsidRDefault="0077278C" w:rsidP="00D73F0A">
      <w:pPr>
        <w:spacing w:after="0" w:line="276" w:lineRule="auto"/>
        <w:jc w:val="both"/>
        <w:rPr>
          <w:rFonts w:ascii="Arial" w:hAnsi="Arial" w:cs="Times New Roman"/>
          <w:kern w:val="2"/>
          <w:lang w:eastAsia="en-US"/>
          <w14:ligatures w14:val="standardContextual"/>
        </w:rPr>
      </w:pPr>
      <w:r w:rsidRPr="0077278C">
        <w:rPr>
          <w:rFonts w:ascii="Arial" w:hAnsi="Arial" w:cs="Times New Roman"/>
          <w:b/>
          <w:bCs/>
          <w:kern w:val="2"/>
          <w:lang w:eastAsia="en-US"/>
          <w14:ligatures w14:val="standardContextual"/>
        </w:rPr>
        <w:t>Artículo segundo.</w:t>
      </w:r>
      <w:r w:rsidRPr="0077278C">
        <w:rPr>
          <w:rFonts w:ascii="Arial" w:hAnsi="Arial" w:cs="Times New Roman"/>
          <w:kern w:val="2"/>
          <w:lang w:eastAsia="en-US"/>
          <w14:ligatures w14:val="standardContextual"/>
        </w:rPr>
        <w:t xml:space="preserve"> A partir de la entrada en vigor de este decreto, deberá denominarse de manera oficial al </w:t>
      </w:r>
      <w:r w:rsidR="00D73F0A">
        <w:rPr>
          <w:rFonts w:ascii="Arial" w:hAnsi="Arial" w:cs="Times New Roman"/>
          <w:kern w:val="2"/>
          <w:lang w:eastAsia="en-US"/>
          <w14:ligatures w14:val="standardContextual"/>
        </w:rPr>
        <w:t>I</w:t>
      </w:r>
      <w:r w:rsidR="00D73F0A" w:rsidRPr="00D73F0A">
        <w:rPr>
          <w:rFonts w:ascii="Arial" w:hAnsi="Arial" w:cs="Times New Roman"/>
          <w:kern w:val="2"/>
          <w:lang w:eastAsia="en-US"/>
          <w14:ligatures w14:val="standardContextual"/>
        </w:rPr>
        <w:t xml:space="preserve">nstituto </w:t>
      </w:r>
      <w:r w:rsidR="00D73F0A">
        <w:rPr>
          <w:rFonts w:ascii="Arial" w:hAnsi="Arial" w:cs="Times New Roman"/>
          <w:kern w:val="2"/>
          <w:lang w:eastAsia="en-US"/>
          <w14:ligatures w14:val="standardContextual"/>
        </w:rPr>
        <w:t>T</w:t>
      </w:r>
      <w:r w:rsidR="00D73F0A" w:rsidRPr="00D73F0A">
        <w:rPr>
          <w:rFonts w:ascii="Arial" w:hAnsi="Arial" w:cs="Times New Roman"/>
          <w:kern w:val="2"/>
          <w:lang w:eastAsia="en-US"/>
          <w14:ligatures w14:val="standardContextual"/>
        </w:rPr>
        <w:t xml:space="preserve">ecnológico de </w:t>
      </w:r>
      <w:r w:rsidR="00D73F0A">
        <w:rPr>
          <w:rFonts w:ascii="Arial" w:hAnsi="Arial" w:cs="Times New Roman"/>
          <w:kern w:val="2"/>
          <w:lang w:eastAsia="en-US"/>
          <w14:ligatures w14:val="standardContextual"/>
        </w:rPr>
        <w:t>T</w:t>
      </w:r>
      <w:r w:rsidR="00D73F0A" w:rsidRPr="00D73F0A">
        <w:rPr>
          <w:rFonts w:ascii="Arial" w:hAnsi="Arial" w:cs="Times New Roman"/>
          <w:kern w:val="2"/>
          <w:lang w:eastAsia="en-US"/>
          <w14:ligatures w14:val="standardContextual"/>
        </w:rPr>
        <w:t>izimín, como “</w:t>
      </w:r>
      <w:r w:rsidR="00933D41">
        <w:rPr>
          <w:rFonts w:ascii="Arial" w:hAnsi="Arial" w:cs="Times New Roman"/>
          <w:kern w:val="2"/>
          <w:lang w:eastAsia="en-US"/>
          <w14:ligatures w14:val="standardContextual"/>
        </w:rPr>
        <w:t>Benemérita e Ilustre Institución Formadora de Profesionales Agropecuarios en el Oriente del Estado de Yucatán</w:t>
      </w:r>
      <w:r w:rsidR="00D73F0A" w:rsidRPr="00D73F0A">
        <w:rPr>
          <w:rFonts w:ascii="Arial" w:hAnsi="Arial" w:cs="Times New Roman"/>
          <w:kern w:val="2"/>
          <w:lang w:eastAsia="en-US"/>
          <w14:ligatures w14:val="standardContextual"/>
        </w:rPr>
        <w:t>”</w:t>
      </w:r>
      <w:r w:rsidR="00D73F0A">
        <w:rPr>
          <w:rFonts w:ascii="Arial" w:hAnsi="Arial" w:cs="Times New Roman"/>
          <w:kern w:val="2"/>
          <w:lang w:eastAsia="en-US"/>
          <w14:ligatures w14:val="standardContextual"/>
        </w:rPr>
        <w:t>.</w:t>
      </w:r>
    </w:p>
    <w:p w14:paraId="3367CF10" w14:textId="59232349" w:rsidR="0077278C" w:rsidRDefault="0077278C" w:rsidP="0077278C">
      <w:pPr>
        <w:spacing w:after="0" w:line="276" w:lineRule="auto"/>
        <w:jc w:val="both"/>
        <w:rPr>
          <w:rFonts w:ascii="Arial" w:hAnsi="Arial" w:cs="Times New Roman"/>
          <w:kern w:val="2"/>
          <w:lang w:eastAsia="en-US"/>
          <w14:ligatures w14:val="standardContextual"/>
        </w:rPr>
      </w:pPr>
    </w:p>
    <w:p w14:paraId="6B8BD7F8" w14:textId="77777777" w:rsidR="00D73F0A" w:rsidRDefault="00D73F0A" w:rsidP="0077278C">
      <w:pPr>
        <w:spacing w:after="0" w:line="276" w:lineRule="auto"/>
        <w:jc w:val="both"/>
        <w:rPr>
          <w:rFonts w:ascii="Arial" w:hAnsi="Arial" w:cs="Times New Roman"/>
          <w:kern w:val="2"/>
          <w:lang w:eastAsia="en-US"/>
          <w14:ligatures w14:val="standardContextual"/>
        </w:rPr>
      </w:pPr>
    </w:p>
    <w:p w14:paraId="046DB94C" w14:textId="77777777" w:rsidR="00D73F0A" w:rsidRPr="0077278C" w:rsidRDefault="00D73F0A" w:rsidP="0077278C">
      <w:pPr>
        <w:spacing w:after="0" w:line="276" w:lineRule="auto"/>
        <w:jc w:val="both"/>
        <w:rPr>
          <w:rFonts w:ascii="Arial" w:hAnsi="Arial" w:cs="Times New Roman"/>
          <w:kern w:val="2"/>
          <w:lang w:eastAsia="en-US"/>
          <w14:ligatures w14:val="standardContextual"/>
        </w:rPr>
      </w:pPr>
    </w:p>
    <w:p w14:paraId="307F6FE1" w14:textId="77777777" w:rsidR="0077278C" w:rsidRPr="00933D41" w:rsidRDefault="0077278C" w:rsidP="0077278C">
      <w:pPr>
        <w:spacing w:after="0" w:line="276" w:lineRule="auto"/>
        <w:jc w:val="center"/>
        <w:rPr>
          <w:rFonts w:ascii="Arial" w:hAnsi="Arial" w:cs="Times New Roman"/>
          <w:b/>
          <w:bCs/>
          <w:kern w:val="2"/>
          <w:lang w:val="en-US" w:eastAsia="en-US"/>
          <w14:ligatures w14:val="standardContextual"/>
        </w:rPr>
      </w:pPr>
      <w:r w:rsidRPr="00933D41">
        <w:rPr>
          <w:rFonts w:ascii="Arial" w:hAnsi="Arial" w:cs="Times New Roman"/>
          <w:b/>
          <w:bCs/>
          <w:kern w:val="2"/>
          <w:lang w:val="en-US" w:eastAsia="en-US"/>
          <w14:ligatures w14:val="standardContextual"/>
        </w:rPr>
        <w:t xml:space="preserve">T r a n s </w:t>
      </w:r>
      <w:proofErr w:type="spellStart"/>
      <w:r w:rsidRPr="00933D41">
        <w:rPr>
          <w:rFonts w:ascii="Arial" w:hAnsi="Arial" w:cs="Times New Roman"/>
          <w:b/>
          <w:bCs/>
          <w:kern w:val="2"/>
          <w:lang w:val="en-US" w:eastAsia="en-US"/>
          <w14:ligatures w14:val="standardContextual"/>
        </w:rPr>
        <w:t>i</w:t>
      </w:r>
      <w:proofErr w:type="spellEnd"/>
      <w:r w:rsidRPr="00933D41">
        <w:rPr>
          <w:rFonts w:ascii="Arial" w:hAnsi="Arial" w:cs="Times New Roman"/>
          <w:b/>
          <w:bCs/>
          <w:kern w:val="2"/>
          <w:lang w:val="en-US" w:eastAsia="en-US"/>
          <w14:ligatures w14:val="standardContextual"/>
        </w:rPr>
        <w:t xml:space="preserve"> t o r </w:t>
      </w:r>
      <w:proofErr w:type="spellStart"/>
      <w:r w:rsidRPr="00933D41">
        <w:rPr>
          <w:rFonts w:ascii="Arial" w:hAnsi="Arial" w:cs="Times New Roman"/>
          <w:b/>
          <w:bCs/>
          <w:kern w:val="2"/>
          <w:lang w:val="en-US" w:eastAsia="en-US"/>
          <w14:ligatures w14:val="standardContextual"/>
        </w:rPr>
        <w:t>i</w:t>
      </w:r>
      <w:proofErr w:type="spellEnd"/>
      <w:r w:rsidRPr="00933D41">
        <w:rPr>
          <w:rFonts w:ascii="Arial" w:hAnsi="Arial" w:cs="Times New Roman"/>
          <w:b/>
          <w:bCs/>
          <w:kern w:val="2"/>
          <w:lang w:val="en-US" w:eastAsia="en-US"/>
          <w14:ligatures w14:val="standardContextual"/>
        </w:rPr>
        <w:t xml:space="preserve"> o s</w:t>
      </w:r>
    </w:p>
    <w:p w14:paraId="23F3E720" w14:textId="77777777" w:rsidR="0077278C" w:rsidRPr="00933D41" w:rsidRDefault="0077278C" w:rsidP="0077278C">
      <w:pPr>
        <w:spacing w:after="0" w:line="276" w:lineRule="auto"/>
        <w:jc w:val="both"/>
        <w:rPr>
          <w:rFonts w:ascii="Arial" w:hAnsi="Arial" w:cs="Times New Roman"/>
          <w:b/>
          <w:bCs/>
          <w:kern w:val="2"/>
          <w:lang w:val="en-US" w:eastAsia="en-US"/>
          <w14:ligatures w14:val="standardContextual"/>
        </w:rPr>
      </w:pPr>
    </w:p>
    <w:p w14:paraId="5EF68F0A" w14:textId="77777777" w:rsidR="0077278C" w:rsidRPr="0077278C" w:rsidRDefault="0077278C" w:rsidP="0077278C">
      <w:pPr>
        <w:spacing w:after="0" w:line="276" w:lineRule="auto"/>
        <w:jc w:val="both"/>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Entrada en vigor</w:t>
      </w:r>
    </w:p>
    <w:p w14:paraId="33DA595C"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b/>
          <w:bCs/>
          <w:kern w:val="2"/>
          <w:lang w:eastAsia="en-US"/>
          <w14:ligatures w14:val="standardContextual"/>
        </w:rPr>
        <w:t>Artículo primero</w:t>
      </w:r>
      <w:r w:rsidRPr="0077278C">
        <w:rPr>
          <w:rFonts w:ascii="Arial" w:hAnsi="Arial" w:cs="Times New Roman"/>
          <w:kern w:val="2"/>
          <w:lang w:eastAsia="en-US"/>
          <w14:ligatures w14:val="standardContextual"/>
        </w:rPr>
        <w:t>. Este decreto entrará en vigor al día siguiente de su publicación en el Diario Oficial del Gobierno del Estado de Yucatán.</w:t>
      </w:r>
    </w:p>
    <w:p w14:paraId="5AA2F962"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39461213" w14:textId="77777777" w:rsidR="0077278C" w:rsidRPr="0077278C" w:rsidRDefault="0077278C" w:rsidP="0077278C">
      <w:pPr>
        <w:spacing w:after="0" w:line="276" w:lineRule="auto"/>
        <w:jc w:val="both"/>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Derogación tácita</w:t>
      </w:r>
    </w:p>
    <w:p w14:paraId="503024D7"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b/>
          <w:bCs/>
          <w:kern w:val="2"/>
          <w:lang w:eastAsia="en-US"/>
          <w14:ligatures w14:val="standardContextual"/>
        </w:rPr>
        <w:t>Artículo segundo.</w:t>
      </w:r>
      <w:r w:rsidRPr="0077278C">
        <w:rPr>
          <w:rFonts w:ascii="Arial" w:hAnsi="Arial" w:cs="Times New Roman"/>
          <w:kern w:val="2"/>
          <w:lang w:eastAsia="en-US"/>
          <w14:ligatures w14:val="standardContextual"/>
        </w:rPr>
        <w:t xml:space="preserve"> Se derogan las disposiciones de igual o menor jerarquía que se opongan a lo establecido en este Decreto.</w:t>
      </w:r>
    </w:p>
    <w:p w14:paraId="62021FF3"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069090F0" w14:textId="2239410E" w:rsidR="0077278C" w:rsidRPr="0077278C" w:rsidRDefault="0077278C" w:rsidP="0077278C">
      <w:pPr>
        <w:spacing w:after="0" w:line="276" w:lineRule="auto"/>
        <w:jc w:val="both"/>
        <w:rPr>
          <w:rFonts w:ascii="Arial" w:hAnsi="Arial" w:cs="Times New Roman"/>
          <w:kern w:val="2"/>
          <w:lang w:eastAsia="en-US"/>
          <w14:ligatures w14:val="standardContextual"/>
        </w:rPr>
      </w:pPr>
      <w:r w:rsidRPr="0077278C">
        <w:rPr>
          <w:rFonts w:ascii="Arial" w:hAnsi="Arial" w:cs="Times New Roman"/>
          <w:kern w:val="2"/>
          <w:lang w:eastAsia="en-US"/>
          <w14:ligatures w14:val="standardContextual"/>
        </w:rPr>
        <w:t xml:space="preserve">Protestamos lo necesario en la ciudad de Mérida, Yucatán, a los </w:t>
      </w:r>
      <w:r w:rsidR="00A96629">
        <w:rPr>
          <w:rFonts w:ascii="Arial" w:hAnsi="Arial" w:cs="Times New Roman"/>
          <w:kern w:val="2"/>
          <w:lang w:eastAsia="en-US"/>
          <w14:ligatures w14:val="standardContextual"/>
        </w:rPr>
        <w:t>7</w:t>
      </w:r>
      <w:r w:rsidRPr="0077278C">
        <w:rPr>
          <w:rFonts w:ascii="Arial" w:hAnsi="Arial" w:cs="Times New Roman"/>
          <w:kern w:val="2"/>
          <w:lang w:eastAsia="en-US"/>
          <w14:ligatures w14:val="standardContextual"/>
        </w:rPr>
        <w:t xml:space="preserve"> días del mes de </w:t>
      </w:r>
      <w:r w:rsidR="00A96629">
        <w:rPr>
          <w:rFonts w:ascii="Arial" w:hAnsi="Arial" w:cs="Times New Roman"/>
          <w:kern w:val="2"/>
          <w:lang w:eastAsia="en-US"/>
          <w14:ligatures w14:val="standardContextual"/>
        </w:rPr>
        <w:t>septiembre</w:t>
      </w:r>
      <w:r w:rsidRPr="0077278C">
        <w:rPr>
          <w:rFonts w:ascii="Arial" w:hAnsi="Arial" w:cs="Times New Roman"/>
          <w:kern w:val="2"/>
          <w:lang w:eastAsia="en-US"/>
          <w14:ligatures w14:val="standardContextual"/>
        </w:rPr>
        <w:t xml:space="preserve"> del año 2026.</w:t>
      </w:r>
    </w:p>
    <w:p w14:paraId="7314EAA0"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0479F91C" w14:textId="77777777" w:rsidR="0077278C" w:rsidRPr="0077278C" w:rsidRDefault="0077278C" w:rsidP="0077278C">
      <w:pPr>
        <w:spacing w:after="0" w:line="276" w:lineRule="auto"/>
        <w:jc w:val="both"/>
        <w:rPr>
          <w:rFonts w:ascii="Arial" w:hAnsi="Arial" w:cs="Times New Roman"/>
          <w:kern w:val="2"/>
          <w:lang w:eastAsia="en-US"/>
          <w14:ligatures w14:val="standardContextual"/>
        </w:rPr>
      </w:pPr>
    </w:p>
    <w:p w14:paraId="49BDE587" w14:textId="77777777" w:rsidR="0077278C" w:rsidRDefault="0077278C" w:rsidP="0077278C">
      <w:pPr>
        <w:spacing w:after="0" w:line="276" w:lineRule="auto"/>
        <w:jc w:val="both"/>
        <w:rPr>
          <w:rFonts w:ascii="Arial" w:hAnsi="Arial" w:cs="Times New Roman"/>
          <w:b/>
          <w:bCs/>
          <w:kern w:val="2"/>
          <w:lang w:eastAsia="en-US"/>
          <w14:ligatures w14:val="standardContextual"/>
        </w:rPr>
      </w:pPr>
    </w:p>
    <w:p w14:paraId="21821257" w14:textId="77777777" w:rsidR="001E4B25" w:rsidRDefault="001E4B25" w:rsidP="0077278C">
      <w:pPr>
        <w:spacing w:after="0" w:line="276" w:lineRule="auto"/>
        <w:jc w:val="both"/>
        <w:rPr>
          <w:rFonts w:ascii="Arial" w:hAnsi="Arial" w:cs="Times New Roman"/>
          <w:b/>
          <w:bCs/>
          <w:kern w:val="2"/>
          <w:lang w:eastAsia="en-US"/>
          <w14:ligatures w14:val="standardContextual"/>
        </w:rPr>
      </w:pPr>
    </w:p>
    <w:p w14:paraId="0A493DA6" w14:textId="77777777" w:rsidR="001E4B25" w:rsidRPr="0077278C" w:rsidRDefault="001E4B25" w:rsidP="0077278C">
      <w:pPr>
        <w:spacing w:after="0" w:line="276" w:lineRule="auto"/>
        <w:jc w:val="both"/>
        <w:rPr>
          <w:rFonts w:ascii="Arial" w:hAnsi="Arial" w:cs="Times New Roman"/>
          <w:b/>
          <w:bCs/>
          <w:kern w:val="2"/>
          <w:lang w:eastAsia="en-US"/>
          <w14:ligatures w14:val="standardContextual"/>
        </w:rPr>
      </w:pPr>
    </w:p>
    <w:p w14:paraId="151B5086" w14:textId="77777777" w:rsidR="0077278C" w:rsidRDefault="0077278C" w:rsidP="0077278C">
      <w:pPr>
        <w:spacing w:after="0" w:line="276" w:lineRule="auto"/>
        <w:jc w:val="both"/>
        <w:rPr>
          <w:rFonts w:ascii="Arial" w:hAnsi="Arial" w:cs="Times New Roman"/>
          <w:b/>
          <w:bCs/>
          <w:kern w:val="2"/>
          <w:lang w:eastAsia="en-US"/>
          <w14:ligatures w14:val="standardContextual"/>
        </w:rPr>
      </w:pPr>
    </w:p>
    <w:p w14:paraId="6D424CC4" w14:textId="77777777" w:rsidR="001E4B25" w:rsidRDefault="001E4B25" w:rsidP="0077278C">
      <w:pPr>
        <w:spacing w:after="0" w:line="276" w:lineRule="auto"/>
        <w:jc w:val="both"/>
        <w:rPr>
          <w:rFonts w:ascii="Arial" w:hAnsi="Arial" w:cs="Times New Roman"/>
          <w:b/>
          <w:bCs/>
          <w:kern w:val="2"/>
          <w:lang w:eastAsia="en-US"/>
          <w14:ligatures w14:val="standardContextual"/>
        </w:rPr>
      </w:pPr>
    </w:p>
    <w:p w14:paraId="2F82FC09" w14:textId="77777777" w:rsidR="001E4B25" w:rsidRPr="0077278C" w:rsidRDefault="001E4B25" w:rsidP="0077278C">
      <w:pPr>
        <w:spacing w:after="0" w:line="276" w:lineRule="auto"/>
        <w:jc w:val="both"/>
        <w:rPr>
          <w:rFonts w:ascii="Arial" w:hAnsi="Arial" w:cs="Times New Roman"/>
          <w:b/>
          <w:bCs/>
          <w:kern w:val="2"/>
          <w:lang w:eastAsia="en-US"/>
          <w14:ligatures w14:val="standardContextual"/>
        </w:rPr>
      </w:pPr>
    </w:p>
    <w:p w14:paraId="53ECEE69" w14:textId="77777777" w:rsidR="0077278C" w:rsidRPr="0077278C" w:rsidRDefault="0077278C" w:rsidP="0077278C">
      <w:pPr>
        <w:spacing w:after="0" w:line="276" w:lineRule="auto"/>
        <w:jc w:val="center"/>
        <w:rPr>
          <w:rFonts w:ascii="Arial" w:hAnsi="Arial" w:cs="Times New Roman"/>
          <w:b/>
          <w:bCs/>
          <w:kern w:val="2"/>
          <w:lang w:eastAsia="en-US"/>
          <w14:ligatures w14:val="standardContextual"/>
        </w:rPr>
      </w:pPr>
      <w:r w:rsidRPr="0077278C">
        <w:rPr>
          <w:rFonts w:ascii="Arial" w:hAnsi="Arial" w:cs="Times New Roman"/>
          <w:b/>
          <w:bCs/>
          <w:kern w:val="2"/>
          <w:lang w:eastAsia="en-US"/>
          <w14:ligatures w14:val="standardContextual"/>
        </w:rPr>
        <w:t>DIP. WILMER MANUEL MONFORTE MARFIL</w:t>
      </w:r>
    </w:p>
    <w:p w14:paraId="13E8A5CF" w14:textId="09FFC165" w:rsidR="0077278C" w:rsidRPr="001E4B25" w:rsidRDefault="0077278C" w:rsidP="001E4B25">
      <w:pPr>
        <w:spacing w:after="0" w:line="276" w:lineRule="auto"/>
        <w:jc w:val="center"/>
        <w:rPr>
          <w:rFonts w:ascii="Surface" w:hAnsi="Surface" w:cs="Times New Roman"/>
          <w:color w:val="C00000"/>
          <w:kern w:val="2"/>
          <w:sz w:val="36"/>
          <w:szCs w:val="36"/>
          <w:lang w:eastAsia="en-US"/>
          <w14:ligatures w14:val="standardContextual"/>
        </w:rPr>
      </w:pPr>
      <w:r w:rsidRPr="0077278C">
        <w:rPr>
          <w:rFonts w:ascii="Arial" w:hAnsi="Arial" w:cs="Times New Roman"/>
          <w:b/>
          <w:bCs/>
          <w:kern w:val="2"/>
          <w:lang w:eastAsia="en-US"/>
          <w14:ligatures w14:val="standardContextual"/>
        </w:rPr>
        <w:t xml:space="preserve">COORDINADOR DE LA FRACCIÓN LEGISLATIVA DE </w:t>
      </w:r>
      <w:r w:rsidR="001E4B25" w:rsidRPr="001E4B25">
        <w:rPr>
          <w:rFonts w:ascii="Surface" w:hAnsi="Surface" w:cs="Times New Roman"/>
          <w:b/>
          <w:bCs/>
          <w:color w:val="C00000"/>
          <w:kern w:val="2"/>
          <w:sz w:val="36"/>
          <w:szCs w:val="36"/>
          <w:lang w:eastAsia="en-US"/>
          <w14:ligatures w14:val="standardContextual"/>
        </w:rPr>
        <w:t>morena</w:t>
      </w:r>
    </w:p>
    <w:p w14:paraId="0EE20025" w14:textId="77777777" w:rsidR="00690B0A" w:rsidRDefault="00690B0A" w:rsidP="0077278C"/>
    <w:p w14:paraId="29219AB2" w14:textId="77777777" w:rsidR="004D08C0" w:rsidRDefault="004D08C0" w:rsidP="0077278C"/>
    <w:p w14:paraId="56C71AC9" w14:textId="77777777" w:rsidR="004D08C0" w:rsidRDefault="004D08C0" w:rsidP="0077278C"/>
    <w:sectPr w:rsidR="004D08C0" w:rsidSect="00FE0FDF">
      <w:pgSz w:w="12240" w:h="15840"/>
      <w:pgMar w:top="1985"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8EC46" w14:textId="77777777" w:rsidR="00E262F3" w:rsidRDefault="00E262F3">
      <w:pPr>
        <w:spacing w:after="0" w:line="240" w:lineRule="auto"/>
      </w:pPr>
      <w:r>
        <w:separator/>
      </w:r>
    </w:p>
  </w:endnote>
  <w:endnote w:type="continuationSeparator" w:id="0">
    <w:p w14:paraId="6AE74FE2" w14:textId="77777777" w:rsidR="00E262F3" w:rsidRDefault="00E26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Play">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urface">
    <w:altName w:val="Calibri"/>
    <w:panose1 w:val="00000000000000000000"/>
    <w:charset w:val="00"/>
    <w:family w:val="modern"/>
    <w:notTrueType/>
    <w:pitch w:val="variable"/>
    <w:sig w:usb0="A00000AF" w:usb1="0000004A"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92851" w14:textId="77777777" w:rsidR="00E262F3" w:rsidRDefault="00E262F3">
      <w:pPr>
        <w:spacing w:after="0" w:line="240" w:lineRule="auto"/>
      </w:pPr>
      <w:r>
        <w:separator/>
      </w:r>
    </w:p>
  </w:footnote>
  <w:footnote w:type="continuationSeparator" w:id="0">
    <w:p w14:paraId="6233B0B7" w14:textId="77777777" w:rsidR="00E262F3" w:rsidRDefault="00E262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0269C"/>
    <w:multiLevelType w:val="multilevel"/>
    <w:tmpl w:val="B394BD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9B263A"/>
    <w:multiLevelType w:val="hybridMultilevel"/>
    <w:tmpl w:val="F0082D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4EB11E3"/>
    <w:multiLevelType w:val="hybridMultilevel"/>
    <w:tmpl w:val="F2AEBFBA"/>
    <w:lvl w:ilvl="0" w:tplc="DA1868FA">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BA76391"/>
    <w:multiLevelType w:val="hybridMultilevel"/>
    <w:tmpl w:val="F0082D8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F9B79B6"/>
    <w:multiLevelType w:val="multilevel"/>
    <w:tmpl w:val="137A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9F64C6"/>
    <w:multiLevelType w:val="hybridMultilevel"/>
    <w:tmpl w:val="CB62174E"/>
    <w:lvl w:ilvl="0" w:tplc="3EEA22C2">
      <w:start w:val="1"/>
      <w:numFmt w:val="upperRoman"/>
      <w:lvlText w:val="%1.-"/>
      <w:lvlJc w:val="left"/>
      <w:pPr>
        <w:tabs>
          <w:tab w:val="num" w:pos="0"/>
        </w:tabs>
        <w:ind w:left="624" w:hanging="340"/>
      </w:pPr>
      <w:rPr>
        <w:rFonts w:ascii="Arial" w:hAnsi="Arial" w:hint="default"/>
        <w:b/>
        <w:i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C175298"/>
    <w:multiLevelType w:val="hybridMultilevel"/>
    <w:tmpl w:val="7D4A1788"/>
    <w:lvl w:ilvl="0" w:tplc="3EEA22C2">
      <w:start w:val="1"/>
      <w:numFmt w:val="upperRoman"/>
      <w:lvlText w:val="%1.-"/>
      <w:lvlJc w:val="left"/>
      <w:pPr>
        <w:tabs>
          <w:tab w:val="num" w:pos="0"/>
        </w:tabs>
        <w:ind w:left="624" w:hanging="340"/>
      </w:pPr>
      <w:rPr>
        <w:rFonts w:ascii="Arial" w:hAnsi="Arial" w:hint="default"/>
        <w:b/>
        <w:i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58B6792E"/>
    <w:multiLevelType w:val="hybridMultilevel"/>
    <w:tmpl w:val="71821276"/>
    <w:lvl w:ilvl="0" w:tplc="D65ABB2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42F7DC0"/>
    <w:multiLevelType w:val="hybridMultilevel"/>
    <w:tmpl w:val="F2AEBFBA"/>
    <w:lvl w:ilvl="0" w:tplc="DA1868FA">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7635A92"/>
    <w:multiLevelType w:val="hybridMultilevel"/>
    <w:tmpl w:val="2CA2BC86"/>
    <w:lvl w:ilvl="0" w:tplc="DF509D8C">
      <w:start w:val="1"/>
      <w:numFmt w:val="upperRoman"/>
      <w:lvlText w:val="%1.-"/>
      <w:lvlJc w:val="left"/>
      <w:pPr>
        <w:tabs>
          <w:tab w:val="num" w:pos="0"/>
        </w:tabs>
        <w:ind w:left="624" w:hanging="340"/>
      </w:pPr>
      <w:rPr>
        <w:rFonts w:ascii="Arial" w:hAnsi="Arial" w:hint="default"/>
        <w:b/>
        <w:i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7CED70EE"/>
    <w:multiLevelType w:val="multilevel"/>
    <w:tmpl w:val="622CC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70374807">
    <w:abstractNumId w:val="0"/>
  </w:num>
  <w:num w:numId="2" w16cid:durableId="412970700">
    <w:abstractNumId w:val="10"/>
  </w:num>
  <w:num w:numId="3" w16cid:durableId="561715768">
    <w:abstractNumId w:val="2"/>
  </w:num>
  <w:num w:numId="4" w16cid:durableId="959409683">
    <w:abstractNumId w:val="8"/>
  </w:num>
  <w:num w:numId="5" w16cid:durableId="871504644">
    <w:abstractNumId w:val="4"/>
  </w:num>
  <w:num w:numId="6" w16cid:durableId="1840802894">
    <w:abstractNumId w:val="3"/>
  </w:num>
  <w:num w:numId="7" w16cid:durableId="1613632914">
    <w:abstractNumId w:val="9"/>
  </w:num>
  <w:num w:numId="8" w16cid:durableId="179324059">
    <w:abstractNumId w:val="5"/>
  </w:num>
  <w:num w:numId="9" w16cid:durableId="1853379119">
    <w:abstractNumId w:val="6"/>
  </w:num>
  <w:num w:numId="10" w16cid:durableId="1396011651">
    <w:abstractNumId w:val="7"/>
  </w:num>
  <w:num w:numId="11" w16cid:durableId="1862209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821"/>
    <w:rsid w:val="00001206"/>
    <w:rsid w:val="00017549"/>
    <w:rsid w:val="000651A5"/>
    <w:rsid w:val="00081EBE"/>
    <w:rsid w:val="000A3C78"/>
    <w:rsid w:val="000D45F5"/>
    <w:rsid w:val="00154457"/>
    <w:rsid w:val="001717F6"/>
    <w:rsid w:val="00196DB8"/>
    <w:rsid w:val="001A19C7"/>
    <w:rsid w:val="001B5EDA"/>
    <w:rsid w:val="001E2287"/>
    <w:rsid w:val="001E4B25"/>
    <w:rsid w:val="00224E98"/>
    <w:rsid w:val="002341A3"/>
    <w:rsid w:val="00234419"/>
    <w:rsid w:val="0028121B"/>
    <w:rsid w:val="002A32B4"/>
    <w:rsid w:val="002E2EBA"/>
    <w:rsid w:val="003109C8"/>
    <w:rsid w:val="00355C97"/>
    <w:rsid w:val="003B6636"/>
    <w:rsid w:val="003C3EBF"/>
    <w:rsid w:val="00401D53"/>
    <w:rsid w:val="004059F0"/>
    <w:rsid w:val="004131EB"/>
    <w:rsid w:val="0043305C"/>
    <w:rsid w:val="00486ECE"/>
    <w:rsid w:val="004B1197"/>
    <w:rsid w:val="004D08C0"/>
    <w:rsid w:val="00554A4A"/>
    <w:rsid w:val="005747C5"/>
    <w:rsid w:val="005A075E"/>
    <w:rsid w:val="005C02C7"/>
    <w:rsid w:val="005C36B3"/>
    <w:rsid w:val="005C3D17"/>
    <w:rsid w:val="00627DB5"/>
    <w:rsid w:val="00690B0A"/>
    <w:rsid w:val="006C7D25"/>
    <w:rsid w:val="006F3522"/>
    <w:rsid w:val="00706821"/>
    <w:rsid w:val="0076477B"/>
    <w:rsid w:val="0077278C"/>
    <w:rsid w:val="007B32FE"/>
    <w:rsid w:val="008361EF"/>
    <w:rsid w:val="008B4FD6"/>
    <w:rsid w:val="009060AD"/>
    <w:rsid w:val="00933D41"/>
    <w:rsid w:val="00993A14"/>
    <w:rsid w:val="009F5A47"/>
    <w:rsid w:val="00A5578A"/>
    <w:rsid w:val="00A71146"/>
    <w:rsid w:val="00A83D36"/>
    <w:rsid w:val="00A96629"/>
    <w:rsid w:val="00AC3721"/>
    <w:rsid w:val="00BA2EFC"/>
    <w:rsid w:val="00BB596A"/>
    <w:rsid w:val="00BC181E"/>
    <w:rsid w:val="00BC3C21"/>
    <w:rsid w:val="00C71AC7"/>
    <w:rsid w:val="00D311C2"/>
    <w:rsid w:val="00D3461D"/>
    <w:rsid w:val="00D70A39"/>
    <w:rsid w:val="00D73F0A"/>
    <w:rsid w:val="00D83F9D"/>
    <w:rsid w:val="00D90F56"/>
    <w:rsid w:val="00E14549"/>
    <w:rsid w:val="00E262F3"/>
    <w:rsid w:val="00EA7D6C"/>
    <w:rsid w:val="00F72DB8"/>
    <w:rsid w:val="00FE0FD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4A4CA"/>
  <w15:docId w15:val="{F26A4467-6CBD-404F-9724-1FC23E9C2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MX"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F0A"/>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link w:val="Ttulo3Car"/>
    <w:uiPriority w:val="9"/>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color w:val="595959"/>
    </w:rPr>
  </w:style>
  <w:style w:type="paragraph" w:styleId="Ttulo7">
    <w:name w:val="heading 7"/>
    <w:basedOn w:val="Normal"/>
    <w:next w:val="Normal"/>
    <w:link w:val="Ttulo7Car"/>
    <w:uiPriority w:val="9"/>
    <w:semiHidden/>
    <w:unhideWhenUsed/>
    <w:qFormat/>
    <w:rsid w:val="003B6636"/>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rPr>
      <w:rFonts w:ascii="Calibri" w:eastAsia="Calibri" w:hAnsi="Calibri" w:cs="Calibri"/>
    </w:rPr>
    <w:tblPr>
      <w:tblStyleRowBandSize w:val="1"/>
      <w:tblStyleColBandSize w:val="1"/>
      <w:tblCellMar>
        <w:top w:w="0" w:type="dxa"/>
        <w:left w:w="108" w:type="dxa"/>
        <w:bottom w:w="0" w:type="dxa"/>
        <w:right w:w="108" w:type="dxa"/>
      </w:tblCellMar>
    </w:tblPr>
  </w:style>
  <w:style w:type="character" w:customStyle="1" w:styleId="Ttulo7Car">
    <w:name w:val="Título 7 Car"/>
    <w:basedOn w:val="Fuentedeprrafopredeter"/>
    <w:link w:val="Ttulo7"/>
    <w:uiPriority w:val="9"/>
    <w:semiHidden/>
    <w:rsid w:val="003B6636"/>
    <w:rPr>
      <w:rFonts w:asciiTheme="majorHAnsi" w:eastAsiaTheme="majorEastAsia" w:hAnsiTheme="majorHAnsi" w:cstheme="majorBidi"/>
      <w:i/>
      <w:iCs/>
      <w:color w:val="243F60" w:themeColor="accent1" w:themeShade="7F"/>
    </w:rPr>
  </w:style>
  <w:style w:type="character" w:customStyle="1" w:styleId="Ttulo3Car">
    <w:name w:val="Título 3 Car"/>
    <w:basedOn w:val="Fuentedeprrafopredeter"/>
    <w:link w:val="Ttulo3"/>
    <w:uiPriority w:val="9"/>
    <w:rsid w:val="003B6636"/>
    <w:rPr>
      <w:color w:val="0F4761"/>
      <w:sz w:val="28"/>
      <w:szCs w:val="28"/>
    </w:rPr>
  </w:style>
  <w:style w:type="character" w:styleId="Hipervnculo">
    <w:name w:val="Hyperlink"/>
    <w:basedOn w:val="Fuentedeprrafopredeter"/>
    <w:uiPriority w:val="99"/>
    <w:unhideWhenUsed/>
    <w:rsid w:val="003B6636"/>
    <w:rPr>
      <w:color w:val="0000FF"/>
      <w:u w:val="single"/>
    </w:rPr>
  </w:style>
  <w:style w:type="paragraph" w:styleId="Encabezado">
    <w:name w:val="header"/>
    <w:basedOn w:val="Normal"/>
    <w:link w:val="EncabezadoCar"/>
    <w:uiPriority w:val="99"/>
    <w:unhideWhenUsed/>
    <w:rsid w:val="003B66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B6636"/>
  </w:style>
  <w:style w:type="paragraph" w:styleId="Piedepgina">
    <w:name w:val="footer"/>
    <w:basedOn w:val="Normal"/>
    <w:link w:val="PiedepginaCar"/>
    <w:uiPriority w:val="99"/>
    <w:unhideWhenUsed/>
    <w:rsid w:val="003B66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B6636"/>
  </w:style>
  <w:style w:type="table" w:styleId="Tablaconcuadrcula">
    <w:name w:val="Table Grid"/>
    <w:basedOn w:val="Tablanormal"/>
    <w:uiPriority w:val="39"/>
    <w:rsid w:val="003B6636"/>
    <w:pPr>
      <w:spacing w:after="0" w:line="240" w:lineRule="auto"/>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3B6636"/>
    <w:pPr>
      <w:ind w:left="720"/>
      <w:contextualSpacing/>
    </w:pPr>
  </w:style>
  <w:style w:type="paragraph" w:styleId="Textonotapie">
    <w:name w:val="footnote text"/>
    <w:basedOn w:val="Normal"/>
    <w:link w:val="TextonotapieCar"/>
    <w:uiPriority w:val="99"/>
    <w:semiHidden/>
    <w:unhideWhenUsed/>
    <w:rsid w:val="003B6636"/>
    <w:pPr>
      <w:spacing w:after="0" w:line="240" w:lineRule="auto"/>
    </w:pPr>
    <w:rPr>
      <w:rFonts w:ascii="Calibri" w:eastAsia="Calibri" w:hAnsi="Calibri" w:cs="Calibri"/>
      <w:sz w:val="20"/>
      <w:szCs w:val="20"/>
    </w:rPr>
  </w:style>
  <w:style w:type="character" w:customStyle="1" w:styleId="TextonotapieCar">
    <w:name w:val="Texto nota pie Car"/>
    <w:basedOn w:val="Fuentedeprrafopredeter"/>
    <w:link w:val="Textonotapie"/>
    <w:uiPriority w:val="99"/>
    <w:semiHidden/>
    <w:rsid w:val="003B6636"/>
    <w:rPr>
      <w:rFonts w:ascii="Calibri" w:eastAsia="Calibri" w:hAnsi="Calibri" w:cs="Calibri"/>
      <w:sz w:val="20"/>
      <w:szCs w:val="20"/>
    </w:rPr>
  </w:style>
  <w:style w:type="character" w:styleId="Refdenotaalpie">
    <w:name w:val="footnote reference"/>
    <w:basedOn w:val="Fuentedeprrafopredeter"/>
    <w:uiPriority w:val="99"/>
    <w:semiHidden/>
    <w:unhideWhenUsed/>
    <w:rsid w:val="003B6636"/>
    <w:rPr>
      <w:vertAlign w:val="superscript"/>
    </w:rPr>
  </w:style>
  <w:style w:type="character" w:customStyle="1" w:styleId="uv3um">
    <w:name w:val="uv3um"/>
    <w:basedOn w:val="Fuentedeprrafopredeter"/>
    <w:rsid w:val="003B6636"/>
  </w:style>
  <w:style w:type="character" w:styleId="Fuerte">
    <w:name w:val="Strong"/>
    <w:basedOn w:val="Fuentedeprrafopredeter"/>
    <w:uiPriority w:val="22"/>
    <w:qFormat/>
    <w:rsid w:val="003B6636"/>
    <w:rPr>
      <w:b/>
      <w:bCs/>
    </w:rPr>
  </w:style>
  <w:style w:type="character" w:customStyle="1" w:styleId="vkekvd">
    <w:name w:val="vkekvd"/>
    <w:basedOn w:val="Fuentedeprrafopredeter"/>
    <w:rsid w:val="003B6636"/>
  </w:style>
  <w:style w:type="character" w:customStyle="1" w:styleId="t286pc">
    <w:name w:val="t286pc"/>
    <w:basedOn w:val="Fuentedeprrafopredeter"/>
    <w:rsid w:val="003B6636"/>
  </w:style>
  <w:style w:type="paragraph" w:styleId="NormalWeb">
    <w:name w:val="Normal (Web)"/>
    <w:basedOn w:val="Normal"/>
    <w:uiPriority w:val="99"/>
    <w:rsid w:val="003B6636"/>
    <w:pPr>
      <w:spacing w:before="100" w:beforeAutospacing="1" w:after="100" w:afterAutospacing="1" w:line="240" w:lineRule="auto"/>
    </w:pPr>
    <w:rPr>
      <w:rFonts w:ascii="Arial" w:eastAsia="Times New Roman" w:hAnsi="Arial" w:cs="Arial"/>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1126</Words>
  <Characters>6195</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Humberto Iván</dc:creator>
  <cp:lastModifiedBy>Jurídico Office</cp:lastModifiedBy>
  <cp:revision>16</cp:revision>
  <cp:lastPrinted>2026-09-08T16:50:00Z</cp:lastPrinted>
  <dcterms:created xsi:type="dcterms:W3CDTF">2026-02-24T23:10:00Z</dcterms:created>
  <dcterms:modified xsi:type="dcterms:W3CDTF">2026-09-18T19:14:00Z</dcterms:modified>
</cp:coreProperties>
</file>